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>ТИПОВОЙ ДОГОВОР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об осуществлении технологического присоединения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к электрическим сетям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(для юридических лиц или индивидуальных предпринимателей </w:t>
      </w:r>
      <w:proofErr w:type="gramEnd"/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устройств, максимальная мощность которых составляет до 150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кВт включительно (с учетом ранее присоединенных в данной </w:t>
      </w:r>
      <w:proofErr w:type="gramEnd"/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точке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устройств)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                      "__" _____________ 20__ г.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(место заключения договора)                      (дата заключения договора)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 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(наименование сетевой организации)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именуемая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в дальнейшем сетевой организацией, в лице 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(должность, фамилия, имя, отчество)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действующего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на основании 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(наименование и реквизиты документа)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с одной стороны, и 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  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(полное наименование юридического лица,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     номер записи в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Едином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государственном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реестре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юридических лиц с указанием фамилии, имени, отчества лица,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действующего от имени этого юридического лица,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наименования и реквизитов документа, на основании которого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он действует, либо фамилия, имя, отчество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индивидуального предпринимателя, номер записи в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Едином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   государственном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реестре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индивидуальных предпринимателей и дата ее внесения в реестр)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именуемый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 в  дальнейшем  заявителем,  с другой стороны,  вместе  именуемые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Сторонами, заключили настоящий договор о нижеследующем: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I. Предмет договора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1.  По  настоящему  договору  сетевая  организация  принимает  на  себя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обязательства     по     осуществлению    технологического    присоединения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энергопринимающих</w:t>
      </w:r>
      <w:proofErr w:type="spell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устройств    заявителя    (далее   -   технологическое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присоединение) ____________________________________________________________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(наименование </w:t>
      </w:r>
      <w:proofErr w:type="spellStart"/>
      <w:r w:rsidRPr="00D07919">
        <w:rPr>
          <w:rFonts w:ascii="Courier New" w:eastAsia="Times New Roman" w:hAnsi="Courier New" w:cs="Courier New"/>
          <w:sz w:val="20"/>
          <w:szCs w:val="20"/>
        </w:rPr>
        <w:t>энергопринимающих</w:t>
      </w:r>
      <w:proofErr w:type="spell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устройств)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в   том   числе  по   обеспечению   готовности   объектов   </w:t>
      </w:r>
      <w:proofErr w:type="spellStart"/>
      <w:r w:rsidRPr="00D07919">
        <w:rPr>
          <w:rFonts w:ascii="Courier New" w:eastAsia="Times New Roman" w:hAnsi="Courier New" w:cs="Courier New"/>
          <w:sz w:val="20"/>
          <w:szCs w:val="20"/>
        </w:rPr>
        <w:t>электросетевого</w:t>
      </w:r>
      <w:proofErr w:type="spell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хозяйства  (включая  их  проектирование,  строительство,  реконструкцию)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к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присоединению   </w:t>
      </w:r>
      <w:proofErr w:type="spellStart"/>
      <w:r w:rsidRPr="00D07919">
        <w:rPr>
          <w:rFonts w:ascii="Courier New" w:eastAsia="Times New Roman" w:hAnsi="Courier New" w:cs="Courier New"/>
          <w:sz w:val="20"/>
          <w:szCs w:val="20"/>
        </w:rPr>
        <w:t>энергопринимающих</w:t>
      </w:r>
      <w:proofErr w:type="spell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 устройств,  урегулированию  отношений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с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третьими  лицами в случае необходимости строительства (модернизации) такими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лицами     принадлежащих     им    объектов    </w:t>
      </w:r>
      <w:proofErr w:type="spellStart"/>
      <w:r w:rsidRPr="00D07919">
        <w:rPr>
          <w:rFonts w:ascii="Courier New" w:eastAsia="Times New Roman" w:hAnsi="Courier New" w:cs="Courier New"/>
          <w:sz w:val="20"/>
          <w:szCs w:val="20"/>
        </w:rPr>
        <w:t>электросетевого</w:t>
      </w:r>
      <w:proofErr w:type="spell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хозяйства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r w:rsidRPr="00D07919">
        <w:rPr>
          <w:rFonts w:ascii="Courier New" w:eastAsia="Times New Roman" w:hAnsi="Courier New" w:cs="Courier New"/>
          <w:sz w:val="20"/>
          <w:szCs w:val="20"/>
        </w:rPr>
        <w:t>энергопринимающих</w:t>
      </w:r>
      <w:proofErr w:type="spell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  устройств,   объектов   электроэнергетики),  с  учетом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следующих характеристик: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________ (кВт);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категория надежности _______;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класс напряжения электрических сетей, к которым осуществляется присоединение _____ (кВ);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максимальная мощность ранее присоединенных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ств ___________ кВт </w:t>
      </w:r>
      <w:hyperlink r:id="rId4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&lt;1</w:t>
        </w:r>
        <w:proofErr w:type="gramEnd"/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&gt;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Заявитель обязуется оплатить расходы на технологическое присоединение в соответствии с условиями настоящего договора. 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2. Технологическое присоединение необходимо для электроснабжения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 xml:space="preserve"> ______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(наименование объектов заявителя)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расположенных</w:t>
      </w:r>
      <w:proofErr w:type="gramEnd"/>
      <w:r w:rsidRPr="00D07919">
        <w:rPr>
          <w:rFonts w:ascii="Courier New" w:eastAsia="Times New Roman" w:hAnsi="Courier New" w:cs="Courier New"/>
          <w:sz w:val="20"/>
          <w:szCs w:val="20"/>
        </w:rPr>
        <w:t xml:space="preserve"> (которые будут располагаться) 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__________________________________________________________________________.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(место нахождения объектов заявителя)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3. Точка (точки) присоединения указана в технических условиях для присоединения к электрическим сетям (далее - технические условия) и располагается на расстоянии ______ метров </w:t>
      </w:r>
      <w:hyperlink r:id="rId5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&lt;2&gt;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от границы участка заявителя, на котором располагаются (будут располагаться) присоединяемые объекты заявителя.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6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Технические условия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являются неотъемлемой частью настоящего договора и приведены в приложении.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Срок действия технических условий составляет _______ год (года) </w:t>
      </w:r>
      <w:hyperlink r:id="rId7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&lt;3&gt;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со дня заключения настоящего договора.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67"/>
      <w:bookmarkEnd w:id="0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5. Срок выполнения мероприятий по технологическому присоединению составляет __________ </w:t>
      </w:r>
      <w:hyperlink r:id="rId8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&lt;4&gt;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со дня заключения настоящего договора.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II. Обязанности Сторон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6. Сетевая организация обязуется: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до точки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заявителя, а также урегулировать отношения с третьими лицами до границ участка, на котором расположены присоединяемые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энергопринимающие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73"/>
      <w:bookmarkEnd w:id="1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 (за исключением случаев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 уровне напряжения 0,4 кВ и ниже);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не позднее ________ рабочих дней со дня проведения осмотра (обследования), указанного в </w:t>
      </w:r>
      <w:hyperlink w:anchor="p73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абзаце третьем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пункта, с соблюдением срока, установленного </w:t>
      </w:r>
      <w:hyperlink w:anchor="p67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5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осуществить фактическое присоединение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об осуществлении технологического присоединения и направить его заявителю (за исключением случаев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напряжения 0,4 кВ и ниже).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В случае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 уровне напряжения 0,4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сетям, подписанное усиленной квалифицированной электронной подписью уполномоченного </w:t>
      </w:r>
      <w:r w:rsidRPr="00D07919">
        <w:rPr>
          <w:rFonts w:ascii="Times New Roman" w:eastAsia="Times New Roman" w:hAnsi="Times New Roman" w:cs="Times New Roman"/>
          <w:sz w:val="24"/>
          <w:szCs w:val="24"/>
        </w:rPr>
        <w:lastRenderedPageBreak/>
        <w:t>лица сетевой организации, в течение одного рабочего дня со дня выполнения сетевой организацией мероприятий, предусмотренных техническими условиями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отнесенных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к обязанностям сетевой организации.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вправе по обращению заявителя продлить срок действия технических условий. При этом дополнительная плата не взимается.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8. Заявитель обязуется: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до точки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заявителя, указанной в технических условиях, за исключением урегулирования отношений с третьими лицами до границ участка, на котором расположены присоединяемые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энергопринимающие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в случае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 уровне напряжения выше 0,4 кВ - после выполнения мероприятий по технологическому присоединению до точки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заявителя, указанной в технических условиях, уведомить сетевую организацию о выполнении технических условий и представить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объектов по производству электрической энергии), релейной защите и автоматике, телемеханике и связи,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 </w:t>
      </w:r>
      <w:proofErr w:type="gramEnd"/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сетевой организацией (в случае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 уровне напряжения выше 0,4 кВ);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после осуществления сетевой организацией фактического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фактического приема (подачи)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организации, а в случае осуществления технологического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на уровне напряжения 0,4 кВ и ниже - рассмотреть и при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сетям; </w:t>
      </w:r>
      <w:proofErr w:type="gramEnd"/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надлежащим образом исполнять указанные в </w:t>
      </w:r>
      <w:hyperlink w:anchor="p86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разделе III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 обязательства по оплате расходов на технологическое присоединение;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обратиться в сетевую организацию с просьбой о продлении срока действия технических условий.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p86"/>
      <w:bookmarkEnd w:id="2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III. Плата за технологическое присоединение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и порядок расчетов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10. Размер  платы  за  технологическое  присоединение  определяется </w:t>
      </w:r>
      <w:hyperlink r:id="rId9" w:history="1">
        <w:r w:rsidRPr="00D0791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&lt;5&gt;</w:t>
        </w:r>
      </w:hyperlink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в соответствии с решением 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(наименование органа исполнительной власти в области государственного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   регулирования тарифов)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от ___________ N ________ и составляет _________ рублей ______ копеек.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11.  Внесение  платы  за  технологическое  присоединение осуществляется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заявителем в следующем порядке: ___________________________________________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proofErr w:type="gramStart"/>
      <w:r w:rsidRPr="00D07919">
        <w:rPr>
          <w:rFonts w:ascii="Courier New" w:eastAsia="Times New Roman" w:hAnsi="Courier New" w:cs="Courier New"/>
          <w:sz w:val="20"/>
          <w:szCs w:val="20"/>
        </w:rPr>
        <w:t>(указываются порядок и сроки внесения платы</w:t>
      </w:r>
      <w:proofErr w:type="gramEnd"/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__________________________________________________________________________.</w:t>
      </w:r>
    </w:p>
    <w:p w:rsidR="00D07919" w:rsidRPr="00D07919" w:rsidRDefault="00D07919" w:rsidP="00D0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07919">
        <w:rPr>
          <w:rFonts w:ascii="Courier New" w:eastAsia="Times New Roman" w:hAnsi="Courier New" w:cs="Courier New"/>
          <w:sz w:val="20"/>
          <w:szCs w:val="20"/>
        </w:rPr>
        <w:t xml:space="preserve">                     за технологическое присоединение)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дств в к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ассу или на расчетный счет сетевой организации.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IV. Разграничение балансовой принадлежности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электрических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сетей и эксплуатационной ответственности Сторон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13. Заявитель несет балансовую и эксплуатационную ответственность до точки присоединения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заявителя </w:t>
      </w:r>
      <w:hyperlink r:id="rId10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&lt;6&gt;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V. Условия изменения, расторжения договора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и ответственность Сторон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14. Настоящий договор может быть изменен по письменному соглашению Сторон или в судебном порядке.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15. Настоящий </w:t>
      </w: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основаниям, предусмотренным Гражданским </w:t>
      </w:r>
      <w:hyperlink r:id="rId11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кодексом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Нарушение заявителем установленного договором срока осуществления мероприятий по технологическому присоединению (в случае если техническими условиями предусмотрен поэтапный ввод в работу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- мероприятий, предусмотренных очередным этапом) на 12 и более месяцев при условии, что сетевой организацией в полном объеме выполнены мероприятия по технологическому присоединению,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</w:t>
      </w:r>
      <w:proofErr w:type="gram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, может служить основанием для расторжения договора по требованию сетевой организации по решению суда.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114"/>
      <w:bookmarkEnd w:id="3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17. Абзац утратил силу.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115"/>
      <w:bookmarkEnd w:id="4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Сторона договора, нарушившая срок осуществления мероприятий по технологическому присоединению, предусмотренный договором, обязана уплатить другой стороне неустойку, равную 0,25 процента общего размера платы за каждый день </w:t>
      </w:r>
      <w:r w:rsidRPr="00D079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просрочки (за исключением случаев нарушения выполнения технических условий заявителями, технологическое присоединение </w:t>
      </w:r>
      <w:proofErr w:type="spellStart"/>
      <w:r w:rsidRPr="00D07919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устройств которых осуществляется на уровне напряжения 0,4 кВ и ниже).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неустойки, определенный в предусмотренном настоящим абзацем порядке, за год просрочки.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Сторона договора, нарушившая срок осуществления мероприятий по технологическому присоединению, предусмотренный договором, обязана уплатить понесенные другой стороной договора расходы в размере, определенном в судебном акте, связанные с необходимостью принудительного взыскания неустойки, предусмотренной </w:t>
      </w:r>
      <w:hyperlink w:anchor="p114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абзацем первым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hyperlink w:anchor="p115" w:history="1">
        <w:r w:rsidRPr="00D079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вторым</w:t>
        </w:r>
      </w:hyperlink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пункта, в случае необоснованного уклонения либо отказа от ее уплаты.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VI. Порядок разрешения споров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VII. Заключительные положения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21. Настоящий договор считается заключенным со дня оплаты заявителем счета на оплату технологического присоединения по договору. </w:t>
      </w:r>
    </w:p>
    <w:p w:rsidR="00D07919" w:rsidRPr="00D07919" w:rsidRDefault="00D07919" w:rsidP="00D0791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22. Настоящий договор составлен и подписан в двух экземплярах, по одному для каждой из Сторон.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07919" w:rsidRPr="00D07919" w:rsidRDefault="00D07919" w:rsidP="00D07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Реквизиты Сторон </w:t>
      </w:r>
    </w:p>
    <w:p w:rsidR="00D07919" w:rsidRPr="00D07919" w:rsidRDefault="00D07919" w:rsidP="00D0791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9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7563" w:type="dxa"/>
        <w:tblInd w:w="13" w:type="dxa"/>
        <w:tblCellMar>
          <w:left w:w="0" w:type="dxa"/>
          <w:right w:w="0" w:type="dxa"/>
        </w:tblCellMar>
        <w:tblLook w:val="04A0"/>
      </w:tblPr>
      <w:tblGrid>
        <w:gridCol w:w="3457"/>
        <w:gridCol w:w="48"/>
        <w:gridCol w:w="4058"/>
      </w:tblGrid>
      <w:tr w:rsidR="00D07919" w:rsidRPr="00D07919" w:rsidTr="00D07919">
        <w:tc>
          <w:tcPr>
            <w:tcW w:w="0" w:type="auto"/>
            <w:hideMark/>
          </w:tcPr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Сетевая организация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(наименование сетевой организации)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(место нахождения)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ИНН/КПП 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proofErr w:type="gramStart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proofErr w:type="spellEnd"/>
            <w:proofErr w:type="gramEnd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/с __________________________________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к/с __________________________________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(должность, фамилия, имя, отчество лица, </w:t>
            </w:r>
            <w:proofErr w:type="gramEnd"/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действующего от имени сетевой организации) </w:t>
            </w:r>
            <w:proofErr w:type="gramEnd"/>
          </w:p>
        </w:tc>
        <w:tc>
          <w:tcPr>
            <w:tcW w:w="0" w:type="auto"/>
            <w:hideMark/>
          </w:tcPr>
          <w:p w:rsidR="00D07919" w:rsidRPr="00D07919" w:rsidRDefault="00D07919" w:rsidP="00D0791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Merge w:val="restart"/>
            <w:hideMark/>
          </w:tcPr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Заявитель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(для юридических лиц - полное наименование)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(номер записи в Едином государственном реестре юридических лиц)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ИНН 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(должность, фамилия, имя, отчество лица, </w:t>
            </w:r>
            <w:proofErr w:type="gramEnd"/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действующего от имени юридического лица)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(место нахождения)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(для индивидуальных предпринимателей - фамилия, имя, отчество)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(номер записи в Едином государственном реестре индивидуальных предпринимателей и дата ее внесения в реестр)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(серия, номер и дата выдачи паспорта или </w:t>
            </w:r>
            <w:proofErr w:type="gramEnd"/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иного документа, удостоверяющего личность в соответствии с законодательством Российской Федерации)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ИНН 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____________________________________ </w:t>
            </w:r>
          </w:p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(место жительства) </w:t>
            </w:r>
          </w:p>
        </w:tc>
      </w:tr>
      <w:tr w:rsidR="00D07919" w:rsidRPr="00D07919" w:rsidTr="00D07919">
        <w:trPr>
          <w:trHeight w:val="240"/>
        </w:trPr>
        <w:tc>
          <w:tcPr>
            <w:tcW w:w="0" w:type="auto"/>
            <w:vMerge w:val="restart"/>
            <w:hideMark/>
          </w:tcPr>
          <w:p w:rsidR="00D07919" w:rsidRPr="00D07919" w:rsidRDefault="00D07919" w:rsidP="00D07919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_________ </w:t>
            </w:r>
          </w:p>
          <w:p w:rsidR="00D07919" w:rsidRPr="00D07919" w:rsidRDefault="00D07919" w:rsidP="00D07919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(подпись)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М.П. </w:t>
            </w:r>
          </w:p>
        </w:tc>
        <w:tc>
          <w:tcPr>
            <w:tcW w:w="0" w:type="auto"/>
            <w:vMerge w:val="restart"/>
            <w:hideMark/>
          </w:tcPr>
          <w:p w:rsidR="00D07919" w:rsidRPr="00D07919" w:rsidRDefault="00D07919" w:rsidP="00D0791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07919" w:rsidRPr="00D07919" w:rsidRDefault="00D07919" w:rsidP="00D0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D07919" w:rsidRPr="00D07919" w:rsidTr="00D07919">
        <w:tc>
          <w:tcPr>
            <w:tcW w:w="0" w:type="auto"/>
            <w:vMerge/>
            <w:vAlign w:val="center"/>
            <w:hideMark/>
          </w:tcPr>
          <w:p w:rsidR="00D07919" w:rsidRPr="00D07919" w:rsidRDefault="00D07919" w:rsidP="00D0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919" w:rsidRPr="00D07919" w:rsidRDefault="00D07919" w:rsidP="00D0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auto"/>
            <w:hideMark/>
          </w:tcPr>
          <w:p w:rsidR="00D07919" w:rsidRPr="00D07919" w:rsidRDefault="00D07919" w:rsidP="00D07919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_________ </w:t>
            </w:r>
          </w:p>
          <w:p w:rsidR="00D07919" w:rsidRPr="00D07919" w:rsidRDefault="00D07919" w:rsidP="00D07919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(подпись) </w:t>
            </w:r>
          </w:p>
          <w:p w:rsidR="00D07919" w:rsidRPr="00D07919" w:rsidRDefault="00D07919" w:rsidP="00D0791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0791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М.П. </w:t>
            </w:r>
          </w:p>
        </w:tc>
      </w:tr>
    </w:tbl>
    <w:p w:rsidR="00152ECF" w:rsidRDefault="00152ECF"/>
    <w:sectPr w:rsidR="0015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07919"/>
    <w:rsid w:val="00152ECF"/>
    <w:rsid w:val="00D0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07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07919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079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7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651&amp;dst=1420&amp;field=134&amp;date=11.11.202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9651&amp;dst=1419&amp;field=134&amp;date=11.11.202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9651&amp;dst=1424&amp;field=134&amp;date=11.11.2024" TargetMode="External"/><Relationship Id="rId11" Type="http://schemas.openxmlformats.org/officeDocument/2006/relationships/hyperlink" Target="https://login.consultant.ru/link/?req=doc&amp;base=LAW&amp;n=482692&amp;date=11.11.2024" TargetMode="External"/><Relationship Id="rId5" Type="http://schemas.openxmlformats.org/officeDocument/2006/relationships/hyperlink" Target="https://login.consultant.ru/link/?req=doc&amp;base=LAW&amp;n=489651&amp;dst=1418&amp;field=134&amp;date=11.11.2024" TargetMode="External"/><Relationship Id="rId10" Type="http://schemas.openxmlformats.org/officeDocument/2006/relationships/hyperlink" Target="https://login.consultant.ru/link/?req=doc&amp;base=LAW&amp;n=489651&amp;dst=1422&amp;field=134&amp;date=11.11.2024" TargetMode="External"/><Relationship Id="rId4" Type="http://schemas.openxmlformats.org/officeDocument/2006/relationships/hyperlink" Target="https://login.consultant.ru/link/?req=doc&amp;base=LAW&amp;n=489651&amp;dst=1417&amp;field=134&amp;date=11.11.2024" TargetMode="External"/><Relationship Id="rId9" Type="http://schemas.openxmlformats.org/officeDocument/2006/relationships/hyperlink" Target="https://login.consultant.ru/link/?req=doc&amp;base=LAW&amp;n=489651&amp;dst=1421&amp;field=134&amp;date=1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2605</Words>
  <Characters>14851</Characters>
  <Application>Microsoft Office Word</Application>
  <DocSecurity>0</DocSecurity>
  <Lines>123</Lines>
  <Paragraphs>34</Paragraphs>
  <ScaleCrop>false</ScaleCrop>
  <Company/>
  <LinksUpToDate>false</LinksUpToDate>
  <CharactersWithSpaces>17422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</dc:creator>
  <cp:keywords/>
  <dc:description/>
  <cp:lastModifiedBy>Elina</cp:lastModifiedBy>
  <cp:revision>3</cp:revision>
  <dcterms:created xsi:type="dcterms:W3CDTF">2024-11-11T08:34:00Z</dcterms:created>
  <dcterms:modified xsi:type="dcterms:W3CDTF">2024-11-11T08:36:00Z</dcterms:modified>
</cp:coreProperties>
</file>